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4C05B3">
      <w:pPr>
        <w:pStyle w:val="1"/>
      </w:pPr>
      <w:r>
        <w:fldChar w:fldCharType="begin"/>
      </w:r>
      <w:r>
        <w:instrText>HYPERLINK "http://internet.garant.ru/document/redirect/19836588/0"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Челябинской области от </w:t>
      </w:r>
      <w:r>
        <w:rPr>
          <w:rStyle w:val="a4"/>
          <w:b w:val="0"/>
          <w:bCs w:val="0"/>
        </w:rPr>
        <w:t>20 октября 2017 г. N 560-П "О Порядке предоставления компенсации расходов, связанных с самостоятельным приобретением протезно-ортопедических изделий, гражданам, не имеющим группы инвалидности" (с изменениями и дополнениями)</w:t>
      </w:r>
      <w:r>
        <w:fldChar w:fldCharType="end"/>
      </w:r>
    </w:p>
    <w:p w:rsidR="00000000" w:rsidRDefault="004C05B3">
      <w:pPr>
        <w:pStyle w:val="ab"/>
      </w:pPr>
      <w:r>
        <w:t xml:space="preserve">С изменениями и дополнениями </w:t>
      </w:r>
      <w:r>
        <w:t>от:</w:t>
      </w:r>
    </w:p>
    <w:p w:rsidR="00000000" w:rsidRDefault="004C05B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января 2018 г., 28 мая 2019 г., 17 декабря 2021 г.</w:t>
      </w:r>
    </w:p>
    <w:p w:rsidR="00000000" w:rsidRDefault="004C05B3"/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21 декабря 2021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r>
        <w:t xml:space="preserve">В целях реализации </w:t>
      </w:r>
      <w:hyperlink r:id="rId9" w:history="1">
        <w:r>
          <w:rPr>
            <w:rStyle w:val="a4"/>
          </w:rPr>
          <w:t>госу</w:t>
        </w:r>
        <w:r>
          <w:rPr>
            <w:rStyle w:val="a4"/>
          </w:rPr>
          <w:t>дарственной программы</w:t>
        </w:r>
      </w:hyperlink>
      <w:r>
        <w:t xml:space="preserve"> Челябинской области "Развитие социальной защиты населения в Челябинской области", утвержденной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17.12.2020 г. </w:t>
      </w:r>
      <w:r>
        <w:t>N 689-П "О государственной программе Челябинской области "Развитие социальной защиты населения в Челябинской области", Правительство Челябинской области постановляет:</w:t>
      </w:r>
    </w:p>
    <w:p w:rsidR="00000000" w:rsidRDefault="004C05B3">
      <w:bookmarkStart w:id="2" w:name="sub_100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компенс</w:t>
      </w:r>
      <w:r>
        <w:t>ации расходов, связанных с самостоятельным приобретением протезно-ортопедических изделий, гражданам, не имеющим группы инвалидности.</w:t>
      </w:r>
    </w:p>
    <w:p w:rsidR="00000000" w:rsidRDefault="004C05B3">
      <w:bookmarkStart w:id="3" w:name="sub_1002"/>
      <w:bookmarkEnd w:id="2"/>
      <w:r>
        <w:t xml:space="preserve">2. Настоящее постановление подлежит </w:t>
      </w:r>
      <w:hyperlink r:id="rId11" w:history="1">
        <w:r>
          <w:rPr>
            <w:rStyle w:val="a4"/>
          </w:rPr>
          <w:t>офици</w:t>
        </w:r>
        <w:r>
          <w:rPr>
            <w:rStyle w:val="a4"/>
          </w:rPr>
          <w:t>альному опубликованию</w:t>
        </w:r>
      </w:hyperlink>
      <w:r>
        <w:t>.</w:t>
      </w:r>
    </w:p>
    <w:p w:rsidR="00000000" w:rsidRDefault="004C05B3">
      <w:bookmarkStart w:id="4" w:name="sub_1003"/>
      <w:bookmarkEnd w:id="3"/>
      <w:r>
        <w:t xml:space="preserve">3. Настоящее постановление вступает в силу со дня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Start w:id="5" w:name="sub_1303"/>
    <w:bookmarkEnd w:id="4"/>
    <w:p w:rsidR="00000000" w:rsidRDefault="004C05B3">
      <w:r>
        <w:fldChar w:fldCharType="begin"/>
      </w:r>
      <w:r>
        <w:instrText>HYPERLINK \l "sub_1302"</w:instrText>
      </w:r>
      <w:r>
        <w:fldChar w:fldCharType="separate"/>
      </w:r>
      <w:r>
        <w:rPr>
          <w:rStyle w:val="a4"/>
        </w:rPr>
        <w:t>Подпункт 2 пункта 13</w:t>
      </w:r>
      <w:r>
        <w:fldChar w:fldCharType="end"/>
      </w:r>
      <w:r>
        <w:t xml:space="preserve"> </w:t>
      </w:r>
      <w:r>
        <w:t>Порядка, утвержденного настоящим постановлением, действует до 31 декабря 2017 года.</w:t>
      </w:r>
    </w:p>
    <w:bookmarkEnd w:id="5"/>
    <w:p w:rsidR="00000000" w:rsidRDefault="004C05B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C05B3">
            <w:pPr>
              <w:pStyle w:val="ac"/>
            </w:pPr>
            <w:r>
              <w:t>Председатель Правительства Челябинской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C05B3">
            <w:pPr>
              <w:pStyle w:val="aa"/>
              <w:jc w:val="right"/>
            </w:pPr>
            <w:r>
              <w:t>Б.А. Дубровский</w:t>
            </w:r>
          </w:p>
        </w:tc>
      </w:tr>
    </w:tbl>
    <w:p w:rsidR="00000000" w:rsidRDefault="004C05B3"/>
    <w:p w:rsidR="00000000" w:rsidRDefault="004C05B3">
      <w:pPr>
        <w:ind w:firstLine="0"/>
        <w:jc w:val="right"/>
      </w:pPr>
      <w:bookmarkStart w:id="6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20 ок</w:t>
      </w:r>
      <w:r>
        <w:rPr>
          <w:rStyle w:val="a3"/>
        </w:rPr>
        <w:t>тября 2017 г. N 560-П</w:t>
      </w:r>
    </w:p>
    <w:bookmarkEnd w:id="6"/>
    <w:p w:rsidR="00000000" w:rsidRDefault="004C05B3"/>
    <w:p w:rsidR="00000000" w:rsidRDefault="004C05B3">
      <w:pPr>
        <w:pStyle w:val="1"/>
      </w:pPr>
      <w:r>
        <w:t>Порядок</w:t>
      </w:r>
      <w:r>
        <w:br/>
        <w:t>предоставления компенсации расходов, связанных с самостоятельным приобретением протезно-ортопедических изделий, гражданам, не имеющим группы инвалидности</w:t>
      </w:r>
    </w:p>
    <w:p w:rsidR="00000000" w:rsidRDefault="004C05B3">
      <w:pPr>
        <w:pStyle w:val="ab"/>
      </w:pPr>
      <w:r>
        <w:t>С изменениями и дополнениями от:</w:t>
      </w:r>
    </w:p>
    <w:p w:rsidR="00000000" w:rsidRDefault="004C05B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января 2018 г., 28 мая 201</w:t>
      </w:r>
      <w:r>
        <w:rPr>
          <w:shd w:val="clear" w:color="auto" w:fill="EAEFED"/>
        </w:rPr>
        <w:t>9 г., 17 декабря 2021 г.</w:t>
      </w:r>
    </w:p>
    <w:p w:rsidR="00000000" w:rsidRDefault="004C05B3"/>
    <w:p w:rsidR="00000000" w:rsidRDefault="004C05B3">
      <w:bookmarkStart w:id="7" w:name="sub_1004"/>
      <w:r>
        <w:t>1. Настоящий Порядок определяет правила предоставления компенсации расходов, связанных с самостоятельным приобретением протезно-ортопедических изделий, гражданам Российской Федерации, проживающим на территории Челябинской области, не имеющим группы инвалид</w:t>
      </w:r>
      <w:r>
        <w:t>ности, но по медицинским показаниям нуждающимся в протезно-ортопедических изделиях (далее именуется - компенсация).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5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декабря 2021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r>
        <w:t>2. Выплата</w:t>
      </w:r>
      <w:r>
        <w:t xml:space="preserve"> компенсации осуществляется за счет средств, предусмотренных в областном </w:t>
      </w:r>
      <w:r>
        <w:lastRenderedPageBreak/>
        <w:t xml:space="preserve">бюджете на очередной финансовый год, в целях реализации </w:t>
      </w:r>
      <w:hyperlink r:id="rId15" w:history="1">
        <w:r>
          <w:rPr>
            <w:rStyle w:val="a4"/>
          </w:rPr>
          <w:t>государственной программы</w:t>
        </w:r>
      </w:hyperlink>
      <w:r>
        <w:t xml:space="preserve"> Челябинской области "Развити</w:t>
      </w:r>
      <w:r>
        <w:t xml:space="preserve">е социальной защиты населения в Челябинской области", утвержденной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17.12.2020 г. N 689-П "О государственной программе Челябинской обла</w:t>
      </w:r>
      <w:r>
        <w:t>сти "Развитие социальной защиты населения в Челябинской области".</w:t>
      </w:r>
    </w:p>
    <w:p w:rsidR="00000000" w:rsidRDefault="004C05B3">
      <w:bookmarkStart w:id="9" w:name="sub_1006"/>
      <w:r>
        <w:t>3. Компенсация предоставляется гражданам, не являющимся инвалидами, по медицинским показаниям нуждающимся в протезно-ортопедических изделиях:</w:t>
      </w:r>
    </w:p>
    <w:p w:rsidR="00000000" w:rsidRDefault="004C05B3">
      <w:bookmarkStart w:id="10" w:name="sub_1306"/>
      <w:bookmarkEnd w:id="9"/>
      <w:r>
        <w:t>1) в размере 100 процент</w:t>
      </w:r>
      <w:r>
        <w:t>ов стоимости приобретенных протезно-ортопедических изделий:</w:t>
      </w:r>
    </w:p>
    <w:p w:rsidR="00000000" w:rsidRDefault="004C05B3">
      <w:bookmarkStart w:id="11" w:name="sub_1307"/>
      <w:bookmarkEnd w:id="10"/>
      <w:r>
        <w:t>несовершеннолетним детям;</w:t>
      </w:r>
    </w:p>
    <w:p w:rsidR="00000000" w:rsidRDefault="004C05B3">
      <w:bookmarkStart w:id="12" w:name="sub_1311"/>
      <w:bookmarkEnd w:id="11"/>
      <w:r>
        <w:t>лицам, проработавшим в тылу в период с 22 июня 1941 года по 9 мая 1945 года не менее шести месяцев, исключая период работы на временно окк</w:t>
      </w:r>
      <w:r>
        <w:t>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000000" w:rsidRDefault="004C05B3">
      <w:bookmarkStart w:id="13" w:name="sub_1308"/>
      <w:bookmarkEnd w:id="12"/>
      <w:r>
        <w:t>2) в размере 50 процентов от стоимости приобретенных протезно-ортопедических изделий иным гражданам, не</w:t>
      </w:r>
      <w:r>
        <w:t xml:space="preserve"> указанным в </w:t>
      </w:r>
      <w:hyperlink w:anchor="sub_1306" w:history="1">
        <w:r>
          <w:rPr>
            <w:rStyle w:val="a4"/>
          </w:rPr>
          <w:t>подпункте 1</w:t>
        </w:r>
      </w:hyperlink>
      <w:r>
        <w:t xml:space="preserve"> настоящего пункта.</w:t>
      </w:r>
    </w:p>
    <w:p w:rsidR="00000000" w:rsidRDefault="004C05B3">
      <w:bookmarkStart w:id="14" w:name="sub_1007"/>
      <w:bookmarkEnd w:id="13"/>
      <w:r>
        <w:t xml:space="preserve">4. Компенсация предоставляется гражданину из числа лиц, указанных в </w:t>
      </w:r>
      <w:hyperlink w:anchor="sub_1307" w:history="1">
        <w:r>
          <w:rPr>
            <w:rStyle w:val="a4"/>
          </w:rPr>
          <w:t>абзаце втором подпункта 1</w:t>
        </w:r>
      </w:hyperlink>
      <w:r>
        <w:t xml:space="preserve"> и в </w:t>
      </w:r>
      <w:hyperlink w:anchor="sub_1308" w:history="1">
        <w:r>
          <w:rPr>
            <w:rStyle w:val="a4"/>
          </w:rPr>
          <w:t>подпункте 2 пункта 3</w:t>
        </w:r>
      </w:hyperlink>
      <w:r>
        <w:t xml:space="preserve"> настоящего Порядка, в случае если его доход (для одиноко проживающего гражданина) либо среднедушевой доход его семьи не превышает величину </w:t>
      </w:r>
      <w:hyperlink r:id="rId17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населения, установ</w:t>
      </w:r>
      <w:r>
        <w:t>ленную в Челябинской области.</w:t>
      </w:r>
    </w:p>
    <w:bookmarkEnd w:id="14"/>
    <w:p w:rsidR="00000000" w:rsidRDefault="004C05B3">
      <w:r>
        <w:t xml:space="preserve">Гражданам из числа лиц, указанных в </w:t>
      </w:r>
      <w:hyperlink w:anchor="sub_1311" w:history="1">
        <w:r>
          <w:rPr>
            <w:rStyle w:val="a4"/>
          </w:rPr>
          <w:t>абзаце третьем подпункта 1 пункта 3</w:t>
        </w:r>
      </w:hyperlink>
      <w:r>
        <w:t xml:space="preserve"> настоящего Порядка, компенсация предоставляется независимо от их доходов.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5 изменен с 21 декабря 2021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4C05B3">
      <w:r>
        <w:t xml:space="preserve">5. Компенсации подлежат расходы, связанные с приобретением начиная с 1 января 2017 года протезно-ортопедических изделий согласно </w:t>
      </w:r>
      <w:hyperlink w:anchor="sub_11" w:history="1">
        <w:r>
          <w:rPr>
            <w:rStyle w:val="a4"/>
          </w:rPr>
          <w:t>приложению</w:t>
        </w:r>
      </w:hyperlink>
      <w:r>
        <w:t xml:space="preserve"> к настоящему Порядку.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6 изменен с 21 декабря 2021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r>
        <w:t>6. Для получения компенсации гражданин (законный представитель или представитель по доверенности) представляет в Министерство социальных отношений Челябинской области (далее именуется - Министерство социальных отношений) заявлен</w:t>
      </w:r>
      <w:r>
        <w:t>ие на выплату компенсации по форме, установленной Министерством социальных отношений.</w:t>
      </w:r>
    </w:p>
    <w:p w:rsidR="00000000" w:rsidRDefault="004C05B3">
      <w:r>
        <w:t>К заявлению прилагаются следующие документы (подлинники и копии):</w:t>
      </w:r>
    </w:p>
    <w:p w:rsidR="00000000" w:rsidRDefault="004C05B3">
      <w:bookmarkStart w:id="17" w:name="sub_1312"/>
      <w:r>
        <w:t>документ, удостоверяющий личность, либо свидетельство о рождении ребенка - для несовершеннолетни</w:t>
      </w:r>
      <w:r>
        <w:t>х граждан;</w:t>
      </w:r>
    </w:p>
    <w:bookmarkEnd w:id="17"/>
    <w:p w:rsidR="00000000" w:rsidRDefault="004C05B3">
      <w:r>
        <w:t>документ, подтверждающий полномочия представителя гражданина (в случае если от имени гражданина выступает его представитель);</w:t>
      </w:r>
    </w:p>
    <w:p w:rsidR="00000000" w:rsidRDefault="004C05B3">
      <w:r>
        <w:t>документы, подтверждающие оплату стоимости протезно-ортопедического изделия, с указанием наименования протезно-</w:t>
      </w:r>
      <w:r>
        <w:t>ортопедического изделия, его вида, модели и даты приобретения;</w:t>
      </w:r>
    </w:p>
    <w:p w:rsidR="00000000" w:rsidRDefault="004C05B3">
      <w:bookmarkStart w:id="18" w:name="sub_1310"/>
      <w:r>
        <w:t xml:space="preserve">медицинское заключение или справка, подтверждающие наличие медицинских показаний для обеспечения протезно-ортопедическим изделием, выданные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сентября 2020 г. N 972н "Об утверждении Порядка выдачи медицинскими организациями справок и медицинских заключений";</w:t>
      </w:r>
    </w:p>
    <w:bookmarkEnd w:id="18"/>
    <w:p w:rsidR="00000000" w:rsidRDefault="004C05B3">
      <w:r>
        <w:t>удостоверение, подтвержда</w:t>
      </w:r>
      <w:r>
        <w:t xml:space="preserve">ющее статус гражданина, указанного в </w:t>
      </w:r>
      <w:hyperlink w:anchor="sub_1312" w:history="1">
        <w:r>
          <w:rPr>
            <w:rStyle w:val="a4"/>
          </w:rPr>
          <w:t>абзаце третьем подпункта 1 пункта 3</w:t>
        </w:r>
      </w:hyperlink>
      <w:r>
        <w:t xml:space="preserve"> настоящего Порядка, - для указанной категории граждан;</w:t>
      </w:r>
    </w:p>
    <w:p w:rsidR="00000000" w:rsidRDefault="004C05B3">
      <w:r>
        <w:t xml:space="preserve">информация о подтверждении величины среднедушевого дохода семьи либо дохода одиноко </w:t>
      </w:r>
      <w:r>
        <w:lastRenderedPageBreak/>
        <w:t>проживающего гражд</w:t>
      </w:r>
      <w:r>
        <w:t>анина по форме, установленной Министерством социальных отношений.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6-1 с 21 декабря 2021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r>
        <w:t xml:space="preserve">6-1. Документы, указанные в </w:t>
      </w:r>
      <w:hyperlink w:anchor="sub_1009" w:history="1">
        <w:r>
          <w:rPr>
            <w:rStyle w:val="a4"/>
          </w:rPr>
          <w:t>пункте 6</w:t>
        </w:r>
      </w:hyperlink>
      <w:r>
        <w:t xml:space="preserve"> настоящего Порядка, должны соответствовать следующим требованиям:</w:t>
      </w:r>
    </w:p>
    <w:p w:rsidR="00000000" w:rsidRDefault="004C05B3">
      <w:r>
        <w:t>отсутствие подчисток, приписок, зачеркнутых слов и иных неогов</w:t>
      </w:r>
      <w:r>
        <w:t>оренных в них исправлений;</w:t>
      </w:r>
    </w:p>
    <w:p w:rsidR="00000000" w:rsidRDefault="004C05B3">
      <w:r>
        <w:t>отсутствие повреждений (нарушения целостности), наличие которых не позволяет однозначно истолковать их содержание.</w:t>
      </w:r>
    </w:p>
    <w:p w:rsidR="00000000" w:rsidRDefault="004C05B3">
      <w:bookmarkStart w:id="20" w:name="sub_1010"/>
      <w:r>
        <w:t xml:space="preserve">7. Виды доходов, учитываемые при исчислении величины среднедушевого дохода семьи, установлены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августа 2003 г. N </w:t>
      </w:r>
      <w:r>
        <w:t>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изменен с 21 декабря 2</w:t>
      </w:r>
      <w:r>
        <w:rPr>
          <w:shd w:val="clear" w:color="auto" w:fill="F0F0F0"/>
        </w:rPr>
        <w:t xml:space="preserve">021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r>
        <w:t>8. Основанием для отказа в приеме документов является представление неполного пакета документов, предусмотренных настоящим Порядком.</w:t>
      </w:r>
    </w:p>
    <w:p w:rsidR="00000000" w:rsidRDefault="004C05B3">
      <w:bookmarkStart w:id="22" w:name="sub_1012"/>
      <w:r>
        <w:t>9. Граждане несут ответственность за достоверность и полноту представленных сведений и документов, являющихся основ</w:t>
      </w:r>
      <w:r>
        <w:t>анием для назначения компенсации.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января 2018 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25 января 20</w:t>
      </w:r>
      <w:r>
        <w:rPr>
          <w:shd w:val="clear" w:color="auto" w:fill="F0F0F0"/>
        </w:rPr>
        <w:t>18 г. N 16-П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r>
        <w:t>10. Заявления на выплату компенсации предоставляются не позднее 30 ноября текущего года.</w:t>
      </w:r>
    </w:p>
    <w:p w:rsidR="00000000" w:rsidRDefault="004C05B3">
      <w:bookmarkStart w:id="24" w:name="sub_1014"/>
      <w:r>
        <w:t xml:space="preserve">11. Утратил силу с 29 января 2018 г. -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25 января 2018 г. N 16-П</w:t>
      </w:r>
    </w:p>
    <w:bookmarkEnd w:id="24"/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4C05B3">
      <w:pPr>
        <w:pStyle w:val="a7"/>
        <w:rPr>
          <w:shd w:val="clear" w:color="auto" w:fill="F0F0F0"/>
        </w:rPr>
      </w:pPr>
      <w:bookmarkStart w:id="25" w:name="sub_1015"/>
      <w:r>
        <w:t xml:space="preserve"> </w:t>
      </w:r>
      <w:r>
        <w:rPr>
          <w:shd w:val="clear" w:color="auto" w:fill="F0F0F0"/>
        </w:rPr>
        <w:t xml:space="preserve">Пункт 12 изменен с 29 января 2018 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25 января 2018 г. N 16-П</w:t>
      </w:r>
    </w:p>
    <w:bookmarkEnd w:id="25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r>
        <w:t xml:space="preserve">12. Министерство социальных отношений в течение 30 рабочих дней со дня поступления документов, указанных в </w:t>
      </w:r>
      <w:hyperlink w:anchor="sub_1009" w:history="1">
        <w:r>
          <w:rPr>
            <w:rStyle w:val="a4"/>
          </w:rPr>
          <w:t>пункте 6</w:t>
        </w:r>
      </w:hyperlink>
      <w:r>
        <w:t xml:space="preserve"> настоящего Порядка, принимает решение о назначении либо об отк</w:t>
      </w:r>
      <w:r>
        <w:t>азе в назначении компенсации.</w:t>
      </w:r>
    </w:p>
    <w:p w:rsidR="00000000" w:rsidRDefault="004C05B3">
      <w:r>
        <w:t>В случае отказа в назначении компенсации копия соответствующего решения направляется заявителю в течение 5 рабочих дней со дня его вынесения, с указанием причины отказа.</w:t>
      </w:r>
    </w:p>
    <w:p w:rsidR="00000000" w:rsidRDefault="004C05B3">
      <w:bookmarkStart w:id="26" w:name="sub_1016"/>
      <w:r>
        <w:t xml:space="preserve">13. Основанием для принятия решения об отказе в </w:t>
      </w:r>
      <w:r>
        <w:t>предоставлении компенсации является:</w:t>
      </w:r>
    </w:p>
    <w:bookmarkEnd w:id="26"/>
    <w:p w:rsidR="00000000" w:rsidRDefault="004C05B3">
      <w:r>
        <w:t>1) приобретение протезно-ортопедических изделий, не предусмотренных настоящим Порядком;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05B3">
      <w:pPr>
        <w:pStyle w:val="a6"/>
        <w:rPr>
          <w:shd w:val="clear" w:color="auto" w:fill="F0F0F0"/>
        </w:rPr>
      </w:pPr>
      <w:bookmarkStart w:id="27" w:name="sub_1302"/>
      <w:r>
        <w:t xml:space="preserve"> </w:t>
      </w:r>
      <w:r>
        <w:rPr>
          <w:shd w:val="clear" w:color="auto" w:fill="F0F0F0"/>
        </w:rPr>
        <w:t xml:space="preserve">Подпункт 2 пункта 13 настоящего Порядка </w:t>
      </w:r>
      <w:hyperlink w:anchor="sub_1303" w:history="1">
        <w:r>
          <w:rPr>
            <w:rStyle w:val="a4"/>
            <w:shd w:val="clear" w:color="auto" w:fill="F0F0F0"/>
          </w:rPr>
          <w:t>действует</w:t>
        </w:r>
      </w:hyperlink>
      <w:r>
        <w:rPr>
          <w:shd w:val="clear" w:color="auto" w:fill="F0F0F0"/>
        </w:rPr>
        <w:t xml:space="preserve"> до 31 декабря 2017 г.</w:t>
      </w:r>
    </w:p>
    <w:bookmarkEnd w:id="27"/>
    <w:p w:rsidR="00000000" w:rsidRDefault="004C05B3">
      <w:pPr>
        <w:ind w:firstLine="698"/>
        <w:rPr>
          <w:rStyle w:val="ad"/>
        </w:rPr>
      </w:pPr>
      <w:r>
        <w:rPr>
          <w:rStyle w:val="ad"/>
        </w:rPr>
        <w:t>2) получение гражданином протезно-ортопедического изделия бесплатно или на льготных условиях в 2017 году в соответствии с законодательством Челябинской области;</w:t>
      </w:r>
    </w:p>
    <w:p w:rsidR="00000000" w:rsidRDefault="004C05B3">
      <w:r>
        <w:t>3) превышение размера среднедушевого дохода семьи (одиноко проживающего гражданина) над величин</w:t>
      </w:r>
      <w:r>
        <w:t xml:space="preserve">ой </w:t>
      </w:r>
      <w:hyperlink r:id="rId33" w:history="1">
        <w:r>
          <w:rPr>
            <w:rStyle w:val="a4"/>
          </w:rPr>
          <w:t>прожиточного минимума</w:t>
        </w:r>
      </w:hyperlink>
      <w:r>
        <w:t xml:space="preserve">, установленного на душу населения в Челябинской области, </w:t>
      </w:r>
      <w:r>
        <w:lastRenderedPageBreak/>
        <w:t xml:space="preserve">- для граждан, указанных в </w:t>
      </w:r>
      <w:hyperlink w:anchor="sub_1307" w:history="1">
        <w:r>
          <w:rPr>
            <w:rStyle w:val="a4"/>
          </w:rPr>
          <w:t>абзаце втором подпункта 1</w:t>
        </w:r>
      </w:hyperlink>
      <w:r>
        <w:t xml:space="preserve"> и </w:t>
      </w:r>
      <w:hyperlink w:anchor="sub_1308" w:history="1">
        <w:r>
          <w:rPr>
            <w:rStyle w:val="a4"/>
          </w:rPr>
          <w:t>подпункте 2 пункта 3</w:t>
        </w:r>
      </w:hyperlink>
      <w:r>
        <w:t xml:space="preserve"> настоящего Порядка;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дополнен подпунктом 4 с 21 декабря 2021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r>
        <w:t>4) представлены документы на протезно-ортопедические изделия, приобретенные сверх количества, установленного приложением к настоящему Порядку;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13 дополнен подпунктом 5 с 21 декабря 2021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r>
        <w:t xml:space="preserve">5) несоответствие документов, представленных гражданином, </w:t>
      </w:r>
      <w:r>
        <w:t xml:space="preserve">требованиям, указанным в </w:t>
      </w:r>
      <w:hyperlink w:anchor="sub_1009" w:history="1">
        <w:r>
          <w:rPr>
            <w:rStyle w:val="a4"/>
          </w:rPr>
          <w:t>пунктах 6</w:t>
        </w:r>
      </w:hyperlink>
      <w:r>
        <w:t xml:space="preserve">, </w:t>
      </w:r>
      <w:hyperlink w:anchor="sub_601" w:history="1">
        <w:r>
          <w:rPr>
            <w:rStyle w:val="a4"/>
          </w:rPr>
          <w:t>6-1</w:t>
        </w:r>
      </w:hyperlink>
      <w:r>
        <w:t xml:space="preserve"> настоящего Порядка;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дополнен подпунктом 6 с 21 декабря 2021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665-П</w:t>
      </w:r>
    </w:p>
    <w:p w:rsidR="00000000" w:rsidRDefault="004C05B3">
      <w:r>
        <w:t>6) несоответствие наименования протезно-ортопедического изделия, указанного в документах, представленных гражданином, наименованию протезно-ортопедического и</w:t>
      </w:r>
      <w:r>
        <w:t xml:space="preserve">зделия, указанному в </w:t>
      </w:r>
      <w:hyperlink w:anchor="sub_11" w:history="1">
        <w:r>
          <w:rPr>
            <w:rStyle w:val="a4"/>
          </w:rPr>
          <w:t>приложении</w:t>
        </w:r>
      </w:hyperlink>
      <w:r>
        <w:t xml:space="preserve"> к настоящему Порядку;</w:t>
      </w:r>
    </w:p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дополнен подпунктом 7 с 21 декабря 2021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Правительства Челябинской области от 17 декабря 2021 г. N 665-П</w:t>
      </w:r>
    </w:p>
    <w:p w:rsidR="00000000" w:rsidRDefault="004C05B3">
      <w:r>
        <w:t xml:space="preserve">7) документы представлены гражданином за пределами срока, установленного </w:t>
      </w:r>
      <w:hyperlink w:anchor="sub_1013" w:history="1">
        <w:r>
          <w:rPr>
            <w:rStyle w:val="a4"/>
          </w:rPr>
          <w:t>пунктом 10</w:t>
        </w:r>
      </w:hyperlink>
      <w:r>
        <w:t xml:space="preserve"> настоящего Порядка.</w:t>
      </w:r>
    </w:p>
    <w:p w:rsidR="00000000" w:rsidRDefault="004C05B3">
      <w:bookmarkStart w:id="32" w:name="sub_1017"/>
      <w:r>
        <w:t>14. Выплата компенсации осуществляется путем перечисле</w:t>
      </w:r>
      <w:r>
        <w:t>ния средств на счета, открытые в кредитных организациях, либо через отделения федеральной почтовой связи или иные организации, осуществляющие доставку пенсии, по выбору гражданина.</w:t>
      </w:r>
    </w:p>
    <w:bookmarkEnd w:id="32"/>
    <w:p w:rsidR="00000000" w:rsidRDefault="004C05B3">
      <w:r>
        <w:t>Расходы на оплату банковских услуг по зачислению компенсации на сче</w:t>
      </w:r>
      <w:r>
        <w:t>та получателей и на оплату услуг отделений федеральной почтовой связи либо иных организаций, осуществляющих доставку пенсии, по доставке гражданам компенсации осуществляются в пределах 1,5 процента выплаченных сумм без учета налога на добавленную стоимость</w:t>
      </w:r>
      <w:r>
        <w:t>.</w:t>
      </w:r>
    </w:p>
    <w:p w:rsidR="00000000" w:rsidRDefault="004C05B3">
      <w:bookmarkStart w:id="33" w:name="sub_1018"/>
      <w:r>
        <w:t>15. Министерство социальных отношений в течение 10 рабочих дней со дня принятия решения о предоставлении компенсации представляет в Министерство финансов Челябинской области реестр заявок для перечисления денежных средств получателям компенсации.</w:t>
      </w:r>
    </w:p>
    <w:p w:rsidR="00000000" w:rsidRDefault="004C05B3">
      <w:bookmarkStart w:id="34" w:name="sub_1019"/>
      <w:bookmarkEnd w:id="33"/>
      <w:r>
        <w:t>16. Министерство финансов Челябинской области в течение 5 рабочих дней со дня представления Министерством социальных отношений реестра заявок на выплату компенсации и оплату услуг по организации ее выплаты осуществляет перечисление денежны</w:t>
      </w:r>
      <w:r>
        <w:t>х средств получателям.</w:t>
      </w:r>
    </w:p>
    <w:bookmarkEnd w:id="34"/>
    <w:p w:rsidR="00000000" w:rsidRDefault="004C05B3"/>
    <w:p w:rsidR="00000000" w:rsidRDefault="004C05B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21 декабря 2021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17 декабря 2021 г. N </w:t>
      </w:r>
      <w:r>
        <w:rPr>
          <w:shd w:val="clear" w:color="auto" w:fill="F0F0F0"/>
        </w:rPr>
        <w:t>665-П</w:t>
      </w:r>
    </w:p>
    <w:p w:rsidR="00000000" w:rsidRDefault="004C05B3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05B3">
      <w:pPr>
        <w:ind w:firstLine="0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компенсации расходов, связанных</w:t>
      </w:r>
      <w:r>
        <w:rPr>
          <w:rStyle w:val="a3"/>
        </w:rPr>
        <w:br/>
        <w:t>с самостоятельным приобретением</w:t>
      </w:r>
      <w:r>
        <w:rPr>
          <w:rStyle w:val="a3"/>
        </w:rPr>
        <w:br/>
        <w:t>протезно-ортопедических изде</w:t>
      </w:r>
      <w:r>
        <w:rPr>
          <w:rStyle w:val="a3"/>
        </w:rPr>
        <w:t>лий,</w:t>
      </w:r>
      <w:r>
        <w:rPr>
          <w:rStyle w:val="a3"/>
        </w:rPr>
        <w:br/>
        <w:t>гражданам, не имеющим</w:t>
      </w:r>
      <w:r>
        <w:rPr>
          <w:rStyle w:val="a3"/>
        </w:rPr>
        <w:br/>
        <w:t>группы инвалидности</w:t>
      </w:r>
    </w:p>
    <w:p w:rsidR="00000000" w:rsidRDefault="004C05B3"/>
    <w:p w:rsidR="00000000" w:rsidRDefault="004C05B3">
      <w:pPr>
        <w:pStyle w:val="1"/>
      </w:pPr>
      <w:r>
        <w:lastRenderedPageBreak/>
        <w:t>Перечень</w:t>
      </w:r>
      <w:r>
        <w:br/>
        <w:t>протезно-ортопедических изделий, стоимость которых подлежит возмещению за счет средств областного бюджета</w:t>
      </w:r>
    </w:p>
    <w:p w:rsidR="00000000" w:rsidRDefault="004C05B3">
      <w:pPr>
        <w:pStyle w:val="ab"/>
      </w:pPr>
      <w:r>
        <w:t>С изменениями и дополнениями от:</w:t>
      </w:r>
    </w:p>
    <w:p w:rsidR="00000000" w:rsidRDefault="004C05B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января 2018 г., 28 мая 2019 г., 17 декабря 2021 г.</w:t>
      </w:r>
    </w:p>
    <w:p w:rsidR="00000000" w:rsidRDefault="004C0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N</w:t>
            </w:r>
          </w:p>
          <w:p w:rsidR="00000000" w:rsidRDefault="004C05B3">
            <w:pPr>
              <w:pStyle w:val="aa"/>
              <w:jc w:val="center"/>
            </w:pPr>
            <w: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05B3">
            <w:pPr>
              <w:pStyle w:val="aa"/>
              <w:jc w:val="center"/>
            </w:pPr>
            <w:r>
              <w:t>Наименование протезно-ортопедических изделий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Количество протезно-ортопедических изделий, расходы на приобретение которых подлежат компенсации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05B3">
            <w:pPr>
              <w:pStyle w:val="aa"/>
            </w:pPr>
            <w:r>
              <w:t>Ортопедическая обувь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не более двух пар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05B3">
            <w:pPr>
              <w:pStyle w:val="aa"/>
            </w:pPr>
            <w:r>
              <w:t>Стельки или полустельки для ортопедической обуви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не более</w:t>
            </w:r>
            <w:r>
              <w:t xml:space="preserve"> двух пар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05B3">
            <w:pPr>
              <w:pStyle w:val="aa"/>
            </w:pPr>
            <w:r>
              <w:t>Экзопротез молочной железы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не более двух штук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05B3">
            <w:pPr>
              <w:pStyle w:val="aa"/>
            </w:pPr>
            <w:r>
              <w:t>Чехол для экзопротеза молочной железы трикотажный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не более двух штук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05B3">
            <w:pPr>
              <w:pStyle w:val="aa"/>
            </w:pPr>
            <w:r>
              <w:t>Бюстгальтер (лиф-крепление) или грация (полуграция) для фиксации экзопротеза молочной железы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C05B3">
            <w:pPr>
              <w:pStyle w:val="aa"/>
              <w:jc w:val="center"/>
            </w:pPr>
            <w:r>
              <w:t>не более одной штуки в год</w:t>
            </w:r>
          </w:p>
        </w:tc>
      </w:tr>
    </w:tbl>
    <w:p w:rsidR="004C05B3" w:rsidRDefault="004C05B3"/>
    <w:sectPr w:rsidR="004C05B3">
      <w:headerReference w:type="default" r:id="rId40"/>
      <w:footerReference w:type="default" r:id="rId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B3" w:rsidRDefault="004C05B3">
      <w:r>
        <w:separator/>
      </w:r>
    </w:p>
  </w:endnote>
  <w:endnote w:type="continuationSeparator" w:id="0">
    <w:p w:rsidR="004C05B3" w:rsidRDefault="004C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C05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05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05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51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517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51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517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B3" w:rsidRDefault="004C05B3">
      <w:r>
        <w:separator/>
      </w:r>
    </w:p>
  </w:footnote>
  <w:footnote w:type="continuationSeparator" w:id="0">
    <w:p w:rsidR="004C05B3" w:rsidRDefault="004C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05B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20 октября 2017 г. N 560-П "О Порядке предоставления…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77"/>
    <w:rsid w:val="00145177"/>
    <w:rsid w:val="004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99E011-753F-43D6-B1FD-547FA2E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50111/1039" TargetMode="External"/><Relationship Id="rId13" Type="http://schemas.openxmlformats.org/officeDocument/2006/relationships/hyperlink" Target="http://internet.garant.ru/document/redirect/403259972/7" TargetMode="External"/><Relationship Id="rId18" Type="http://schemas.openxmlformats.org/officeDocument/2006/relationships/hyperlink" Target="http://internet.garant.ru/document/redirect/403259972/8" TargetMode="External"/><Relationship Id="rId26" Type="http://schemas.openxmlformats.org/officeDocument/2006/relationships/hyperlink" Target="http://internet.garant.ru/document/redirect/401450111/1011" TargetMode="External"/><Relationship Id="rId39" Type="http://schemas.openxmlformats.org/officeDocument/2006/relationships/hyperlink" Target="http://internet.garant.ru/document/redirect/401450111/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1450111/1009" TargetMode="External"/><Relationship Id="rId34" Type="http://schemas.openxmlformats.org/officeDocument/2006/relationships/hyperlink" Target="http://internet.garant.ru/document/redirect/403259972/1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403259972/3" TargetMode="External"/><Relationship Id="rId12" Type="http://schemas.openxmlformats.org/officeDocument/2006/relationships/hyperlink" Target="http://internet.garant.ru/document/redirect/19836589/0" TargetMode="External"/><Relationship Id="rId17" Type="http://schemas.openxmlformats.org/officeDocument/2006/relationships/hyperlink" Target="http://internet.garant.ru/document/redirect/8739596/0" TargetMode="External"/><Relationship Id="rId25" Type="http://schemas.openxmlformats.org/officeDocument/2006/relationships/hyperlink" Target="http://internet.garant.ru/document/redirect/403259972/11" TargetMode="External"/><Relationship Id="rId33" Type="http://schemas.openxmlformats.org/officeDocument/2006/relationships/hyperlink" Target="http://internet.garant.ru/document/redirect/8739596/0" TargetMode="External"/><Relationship Id="rId38" Type="http://schemas.openxmlformats.org/officeDocument/2006/relationships/hyperlink" Target="http://internet.garant.ru/document/redirect/403259972/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0429930/0" TargetMode="External"/><Relationship Id="rId20" Type="http://schemas.openxmlformats.org/officeDocument/2006/relationships/hyperlink" Target="http://internet.garant.ru/document/redirect/403259972/9" TargetMode="External"/><Relationship Id="rId29" Type="http://schemas.openxmlformats.org/officeDocument/2006/relationships/hyperlink" Target="http://internet.garant.ru/document/redirect/19842524/3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836589/0" TargetMode="External"/><Relationship Id="rId24" Type="http://schemas.openxmlformats.org/officeDocument/2006/relationships/hyperlink" Target="http://internet.garant.ru/document/redirect/186248/0" TargetMode="External"/><Relationship Id="rId32" Type="http://schemas.openxmlformats.org/officeDocument/2006/relationships/hyperlink" Target="http://internet.garant.ru/document/redirect/19878279/1015" TargetMode="External"/><Relationship Id="rId37" Type="http://schemas.openxmlformats.org/officeDocument/2006/relationships/hyperlink" Target="http://internet.garant.ru/document/redirect/403259972/12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0429930/1000" TargetMode="External"/><Relationship Id="rId23" Type="http://schemas.openxmlformats.org/officeDocument/2006/relationships/hyperlink" Target="http://internet.garant.ru/document/redirect/403259972/10" TargetMode="External"/><Relationship Id="rId28" Type="http://schemas.openxmlformats.org/officeDocument/2006/relationships/hyperlink" Target="http://internet.garant.ru/document/redirect/19878279/1013" TargetMode="External"/><Relationship Id="rId36" Type="http://schemas.openxmlformats.org/officeDocument/2006/relationships/hyperlink" Target="http://internet.garant.ru/document/redirect/403259972/12" TargetMode="External"/><Relationship Id="rId10" Type="http://schemas.openxmlformats.org/officeDocument/2006/relationships/hyperlink" Target="http://internet.garant.ru/document/redirect/400429930/0" TargetMode="External"/><Relationship Id="rId19" Type="http://schemas.openxmlformats.org/officeDocument/2006/relationships/hyperlink" Target="http://internet.garant.ru/document/redirect/401450111/1008" TargetMode="External"/><Relationship Id="rId31" Type="http://schemas.openxmlformats.org/officeDocument/2006/relationships/hyperlink" Target="http://internet.garant.ru/document/redirect/19842524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429930/1000" TargetMode="External"/><Relationship Id="rId14" Type="http://schemas.openxmlformats.org/officeDocument/2006/relationships/hyperlink" Target="http://internet.garant.ru/document/redirect/401450111/1005" TargetMode="External"/><Relationship Id="rId22" Type="http://schemas.openxmlformats.org/officeDocument/2006/relationships/hyperlink" Target="http://internet.garant.ru/document/redirect/75003711/0" TargetMode="External"/><Relationship Id="rId27" Type="http://schemas.openxmlformats.org/officeDocument/2006/relationships/hyperlink" Target="http://internet.garant.ru/document/redirect/19842524/2" TargetMode="External"/><Relationship Id="rId30" Type="http://schemas.openxmlformats.org/officeDocument/2006/relationships/hyperlink" Target="http://internet.garant.ru/document/redirect/19878279/1014" TargetMode="External"/><Relationship Id="rId35" Type="http://schemas.openxmlformats.org/officeDocument/2006/relationships/hyperlink" Target="http://internet.garant.ru/document/redirect/403259972/1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ПРМО-Video</cp:lastModifiedBy>
  <cp:revision>2</cp:revision>
  <dcterms:created xsi:type="dcterms:W3CDTF">2022-04-27T14:03:00Z</dcterms:created>
  <dcterms:modified xsi:type="dcterms:W3CDTF">2022-04-27T14:03:00Z</dcterms:modified>
</cp:coreProperties>
</file>